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0" w:rsidRPr="00BE5A80" w:rsidRDefault="00BE5A80" w:rsidP="00BE5A80">
      <w:pPr>
        <w:rPr>
          <w:rFonts w:ascii="Times New Roman" w:hAnsi="Times New Roman" w:cs="Times New Roman"/>
        </w:rPr>
      </w:pPr>
    </w:p>
    <w:p w:rsidR="00BE5A80" w:rsidRPr="00BE5A80" w:rsidRDefault="00BE5A80" w:rsidP="00BE5A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A80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  <w:r w:rsidRPr="00BE5A80">
        <w:rPr>
          <w:rFonts w:ascii="Times New Roman" w:hAnsi="Times New Roman" w:cs="Times New Roman"/>
          <w:b/>
          <w:sz w:val="32"/>
          <w:szCs w:val="32"/>
        </w:rPr>
        <w:br/>
        <w:t>СОВЕТ ДЕПУТАТОВ ГОРОДСКОГО ОКРУГА САРАНСК</w:t>
      </w:r>
      <w:r w:rsidRPr="00BE5A80">
        <w:rPr>
          <w:rFonts w:ascii="Times New Roman" w:hAnsi="Times New Roman" w:cs="Times New Roman"/>
          <w:b/>
          <w:sz w:val="32"/>
          <w:szCs w:val="32"/>
        </w:rPr>
        <w:br/>
      </w:r>
      <w:r w:rsidRPr="00BE5A80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Pr="00BE5A8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E5A80">
        <w:rPr>
          <w:rFonts w:ascii="Times New Roman" w:hAnsi="Times New Roman" w:cs="Times New Roman"/>
          <w:b/>
          <w:sz w:val="32"/>
          <w:szCs w:val="32"/>
        </w:rPr>
        <w:t xml:space="preserve">  Е  Ш  Е  Н  И  Е</w:t>
      </w:r>
    </w:p>
    <w:p w:rsidR="00BE5A80" w:rsidRPr="00BE5A80" w:rsidRDefault="00BE5A80" w:rsidP="00BE5A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A80" w:rsidRPr="00BE5A80" w:rsidRDefault="00BE5A80" w:rsidP="00BE5A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A80" w:rsidRPr="00BE5A80" w:rsidRDefault="00BE5A80" w:rsidP="00BE5A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A80">
        <w:rPr>
          <w:rFonts w:ascii="Times New Roman" w:hAnsi="Times New Roman" w:cs="Times New Roman"/>
          <w:b/>
          <w:sz w:val="32"/>
          <w:szCs w:val="32"/>
        </w:rPr>
        <w:t xml:space="preserve"> от 30 ноября 2022 года                                   № 105</w:t>
      </w:r>
    </w:p>
    <w:p w:rsidR="00416CD0" w:rsidRPr="00CC6BFC" w:rsidRDefault="00416CD0" w:rsidP="00416CD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16CD0" w:rsidRPr="00CC6BFC" w:rsidRDefault="000E6C55" w:rsidP="00416CD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5" w:history="1">
        <w:r w:rsidR="00416CD0" w:rsidRPr="00CC6BFC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О внесении изменени</w:t>
        </w:r>
        <w:r w:rsidR="00BC0DF9" w:rsidRPr="00CC6BFC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я</w:t>
        </w:r>
        <w:r w:rsidR="00416CD0" w:rsidRPr="00CC6BFC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в Методику определения размера платы по договору на установку и эксплуатацию рекламной конструкции</w:t>
        </w:r>
      </w:hyperlink>
    </w:p>
    <w:p w:rsidR="00416CD0" w:rsidRPr="00CC6BFC" w:rsidRDefault="00416CD0" w:rsidP="00416CD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16CD0" w:rsidRPr="00CC6BFC" w:rsidRDefault="00416CD0" w:rsidP="00416CD0">
      <w:pPr>
        <w:pStyle w:val="aa"/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CC6BFC">
        <w:rPr>
          <w:rFonts w:ascii="Times New Roman" w:hAnsi="Times New Roman" w:cs="Times New Roman"/>
          <w:sz w:val="28"/>
          <w:szCs w:val="28"/>
        </w:rPr>
        <w:t xml:space="preserve"> от 13 марта 2006 года № 38-ФЗ «О рекламе», </w:t>
      </w:r>
      <w:hyperlink r:id="rId7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CC6BFC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</w:t>
      </w:r>
      <w:r w:rsidR="00BC0DF9" w:rsidRPr="00CC6BFC">
        <w:rPr>
          <w:rFonts w:ascii="Times New Roman" w:hAnsi="Times New Roman" w:cs="Times New Roman"/>
          <w:sz w:val="28"/>
          <w:szCs w:val="28"/>
        </w:rPr>
        <w:t>Уставом г</w:t>
      </w:r>
      <w:r w:rsidRPr="00CC6BFC">
        <w:rPr>
          <w:rFonts w:ascii="Times New Roman" w:hAnsi="Times New Roman" w:cs="Times New Roman"/>
          <w:sz w:val="28"/>
          <w:szCs w:val="28"/>
        </w:rPr>
        <w:t xml:space="preserve">ородского округа Саранск, Совет депутатов городского округа Саранск  </w:t>
      </w:r>
      <w:proofErr w:type="gramStart"/>
      <w:r w:rsidRPr="00CC6B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BF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16CD0" w:rsidRPr="00CC6BFC" w:rsidRDefault="00416CD0" w:rsidP="00416CD0">
      <w:pPr>
        <w:pStyle w:val="aa"/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6BFC">
        <w:rPr>
          <w:rFonts w:ascii="Times New Roman" w:hAnsi="Times New Roman" w:cs="Times New Roman"/>
          <w:sz w:val="28"/>
          <w:szCs w:val="28"/>
        </w:rPr>
        <w:t>Внести изменени</w:t>
      </w:r>
      <w:r w:rsidR="00BC0DF9" w:rsidRPr="00CC6BFC">
        <w:rPr>
          <w:rFonts w:ascii="Times New Roman" w:hAnsi="Times New Roman" w:cs="Times New Roman"/>
          <w:sz w:val="28"/>
          <w:szCs w:val="28"/>
        </w:rPr>
        <w:t>е</w:t>
      </w:r>
      <w:r w:rsidRPr="00CC6BF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CC6BFC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Саранск от 29 марта 2007 года № 339 «Об утверждении Правил установки и эксплуатации рекламных конструкций» (с изменениями </w:t>
      </w:r>
      <w:hyperlink r:id="rId9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 22 мая</w:t>
        </w:r>
      </w:hyperlink>
      <w:r w:rsidRPr="00CC6BFC">
        <w:rPr>
          <w:rFonts w:ascii="Times New Roman" w:hAnsi="Times New Roman" w:cs="Times New Roman"/>
          <w:sz w:val="28"/>
          <w:szCs w:val="28"/>
        </w:rPr>
        <w:t xml:space="preserve"> 2008 года № 85, от  </w:t>
      </w:r>
      <w:hyperlink r:id="rId10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25 июня 2008 года № 114</w:t>
        </w:r>
      </w:hyperlink>
      <w:r w:rsidRPr="00CC6BFC">
        <w:rPr>
          <w:rFonts w:ascii="Times New Roman" w:hAnsi="Times New Roman" w:cs="Times New Roman"/>
          <w:sz w:val="28"/>
          <w:szCs w:val="28"/>
        </w:rPr>
        <w:t>, от25 ноября 2009 г</w:t>
      </w:r>
      <w:hyperlink r:id="rId11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ода</w:t>
        </w:r>
      </w:hyperlink>
      <w:r w:rsidRPr="00CC6BFC">
        <w:rPr>
          <w:rFonts w:ascii="Times New Roman" w:hAnsi="Times New Roman" w:cs="Times New Roman"/>
          <w:sz w:val="28"/>
          <w:szCs w:val="28"/>
        </w:rPr>
        <w:t xml:space="preserve"> № 442, от </w:t>
      </w:r>
      <w:hyperlink r:id="rId12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30 августа 2013 г</w:t>
        </w:r>
      </w:hyperlink>
      <w:r w:rsidRPr="00CC6BFC">
        <w:rPr>
          <w:rFonts w:ascii="Times New Roman" w:hAnsi="Times New Roman" w:cs="Times New Roman"/>
          <w:sz w:val="28"/>
          <w:szCs w:val="28"/>
        </w:rPr>
        <w:t xml:space="preserve">ода № 238, от 23 апреля 2014 года № 335), изложив </w:t>
      </w:r>
      <w:r w:rsidR="00BC0DF9" w:rsidRPr="00CC6BFC">
        <w:rPr>
          <w:rFonts w:ascii="Times New Roman" w:hAnsi="Times New Roman" w:cs="Times New Roman"/>
          <w:sz w:val="28"/>
          <w:szCs w:val="28"/>
        </w:rPr>
        <w:t>приложение 2 в</w:t>
      </w:r>
      <w:proofErr w:type="gramEnd"/>
      <w:r w:rsidR="00BC0DF9" w:rsidRPr="00CC6BFC"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CC6BFC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hyperlink r:id="rId13" w:anchor="sub_1000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CC6BF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6CD0" w:rsidRPr="00CC6BFC" w:rsidRDefault="00416CD0" w:rsidP="00416CD0">
      <w:pPr>
        <w:pStyle w:val="aa"/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16CD0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p w:rsidR="00BE5A80" w:rsidRDefault="00BE5A80" w:rsidP="00416CD0">
      <w:pPr>
        <w:rPr>
          <w:rFonts w:ascii="Times New Roman" w:hAnsi="Times New Roman" w:cs="Times New Roman"/>
          <w:sz w:val="28"/>
          <w:szCs w:val="28"/>
        </w:rPr>
      </w:pPr>
    </w:p>
    <w:p w:rsidR="00BE5A80" w:rsidRDefault="00BE5A80" w:rsidP="00416CD0">
      <w:pPr>
        <w:rPr>
          <w:rFonts w:ascii="Times New Roman" w:hAnsi="Times New Roman" w:cs="Times New Roman"/>
          <w:sz w:val="28"/>
          <w:szCs w:val="28"/>
        </w:rPr>
      </w:pPr>
    </w:p>
    <w:p w:rsidR="00BE5A80" w:rsidRPr="00CC6BFC" w:rsidRDefault="00BE5A80" w:rsidP="00416CD0">
      <w:pPr>
        <w:rPr>
          <w:rFonts w:ascii="Times New Roman" w:hAnsi="Times New Roman" w:cs="Times New Roman"/>
          <w:sz w:val="28"/>
          <w:szCs w:val="28"/>
        </w:rPr>
      </w:pP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4A0"/>
      </w:tblPr>
      <w:tblGrid>
        <w:gridCol w:w="10065"/>
        <w:gridCol w:w="3333"/>
      </w:tblGrid>
      <w:tr w:rsidR="00416CD0" w:rsidRPr="00CC6BFC" w:rsidTr="00416CD0">
        <w:trPr>
          <w:trHeight w:val="80"/>
        </w:trPr>
        <w:tc>
          <w:tcPr>
            <w:tcW w:w="10065" w:type="dxa"/>
          </w:tcPr>
          <w:p w:rsidR="00416CD0" w:rsidRPr="00CC6BFC" w:rsidRDefault="00416CD0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416CD0" w:rsidRPr="00CC6BFC" w:rsidRDefault="00416CD0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 Саранск</w:t>
            </w:r>
            <w:r w:rsidR="004C6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Т.И. Шукшина</w:t>
            </w:r>
          </w:p>
          <w:p w:rsidR="00416CD0" w:rsidRPr="00CC6BFC" w:rsidRDefault="00416CD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6CD0" w:rsidRPr="00CC6BFC" w:rsidRDefault="000B004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И.о. 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округа Саранск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4C6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И.В. Соколов </w:t>
            </w:r>
          </w:p>
          <w:p w:rsidR="00416CD0" w:rsidRPr="00CC6BFC" w:rsidRDefault="00416CD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333" w:type="dxa"/>
          </w:tcPr>
          <w:p w:rsidR="00416CD0" w:rsidRPr="00CC6BFC" w:rsidRDefault="00416CD0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7D4C" w:rsidRPr="00CC6BFC" w:rsidRDefault="00F97D4C" w:rsidP="00416C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C0DF9" w:rsidRPr="00CC6BFC" w:rsidRDefault="00BC0DF9" w:rsidP="00416C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_GoBack"/>
      <w:bookmarkEnd w:id="0"/>
    </w:p>
    <w:p w:rsidR="00BC0DF9" w:rsidRPr="00CC6BFC" w:rsidRDefault="00BC0DF9" w:rsidP="00416C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16CD0" w:rsidRPr="00CC6BFC" w:rsidRDefault="00416CD0" w:rsidP="00416CD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r:id="rId14" w:anchor="sub_0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решению</w:t>
        </w:r>
      </w:hyperlink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 депутатов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городского округа Саранск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   « </w:t>
      </w:r>
      <w:r w:rsidR="00BE5A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30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BE5A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ноября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2022 г. № </w:t>
      </w:r>
      <w:r w:rsidR="00BE5A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105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p w:rsidR="00BC0DF9" w:rsidRPr="00CC6BFC" w:rsidRDefault="00BC0DF9" w:rsidP="00BC0DF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2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r:id="rId15" w:anchor="sub_0" w:history="1">
        <w:r w:rsidRPr="00CC6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решению</w:t>
        </w:r>
      </w:hyperlink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 депутатов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городского округа Саранск</w:t>
      </w:r>
      <w:r w:rsidRPr="00CC6B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    «29» марта2007г. № 339</w:t>
      </w:r>
    </w:p>
    <w:p w:rsidR="00D91480" w:rsidRPr="00CC6BFC" w:rsidRDefault="00D91480" w:rsidP="00D9148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C6BFC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CC6BFC">
        <w:rPr>
          <w:rFonts w:ascii="Times New Roman" w:hAnsi="Times New Roman" w:cs="Times New Roman"/>
          <w:color w:val="auto"/>
          <w:sz w:val="28"/>
          <w:szCs w:val="28"/>
        </w:rPr>
        <w:br/>
        <w:t>определения размера платы по договору на установку и эксплуатацию рекламной конструкции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Плата по договору на установку и эксплуатацию рекламной конструкции рассчитывается по формуле: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W</w:t>
      </w:r>
      <w:proofErr w:type="gramStart"/>
      <w:r w:rsidRPr="00CC6BFC">
        <w:rPr>
          <w:rFonts w:ascii="Times New Roman" w:hAnsi="Times New Roman" w:cs="Times New Roman"/>
          <w:sz w:val="28"/>
          <w:szCs w:val="28"/>
        </w:rPr>
        <w:t xml:space="preserve"> = В</w:t>
      </w:r>
      <w:proofErr w:type="gramEnd"/>
      <w:r w:rsidRPr="00CC6BFC">
        <w:rPr>
          <w:rFonts w:ascii="Times New Roman" w:hAnsi="Times New Roman" w:cs="Times New Roman"/>
          <w:sz w:val="28"/>
          <w:szCs w:val="28"/>
        </w:rPr>
        <w:t xml:space="preserve"> х S х Т х К1 х К2 х К3,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где: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W - величина оплаты в руб. в год;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B - базовая ставка оплаты по договору в руб. В - 3,5 руб. за 1 кв. м;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S - площадь рекламного изображения в кв. м;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T - тариф платы за 1 кв. м информационного поля (</w:t>
      </w:r>
      <w:proofErr w:type="gramStart"/>
      <w:r w:rsidRPr="00CC6BF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C6BFC">
        <w:rPr>
          <w:rFonts w:ascii="Times New Roman" w:hAnsi="Times New Roman" w:cs="Times New Roman"/>
          <w:sz w:val="28"/>
          <w:szCs w:val="28"/>
        </w:rPr>
        <w:t>. таблицу)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5112"/>
        <w:gridCol w:w="1985"/>
        <w:gridCol w:w="1984"/>
      </w:tblGrid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C6BF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CC6BF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E0714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Площадь информационного поля (кв. 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Тариф платы за 1 кв. м информационного поля (в рублях)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B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4C" w:rsidRPr="00CC6BFC" w:rsidRDefault="00E0714E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 конструкция: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416CD0" w:rsidRPr="00CC6BFC" w:rsidRDefault="00416CD0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Отдельно стоящая щитовая установка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Билборд</w:t>
            </w:r>
            <w:proofErr w:type="spellEnd"/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5 кв. м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5 кв.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27-00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E0714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конструкция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Ультравижн</w:t>
            </w:r>
            <w:proofErr w:type="spellEnd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6A4763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ризматрон</w:t>
            </w:r>
            <w:proofErr w:type="spellEnd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108,0 кв.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E0714E" w:rsidP="00E0714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Рекламная конструкция: 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Суперсайт</w:t>
            </w:r>
            <w:proofErr w:type="spellEnd"/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 кв. м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135,0 кв.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E0714E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Рекламная конструкция: «Рекламная 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светодиодн</w:t>
            </w:r>
            <w:r w:rsidR="006A4763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 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становк</w:t>
            </w:r>
            <w:r w:rsidR="006A4763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6A4763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(Экран)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Электронное табло, «</w:t>
            </w:r>
            <w:proofErr w:type="spellStart"/>
            <w:r w:rsidR="00735E1B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</w:t>
            </w:r>
            <w:r w:rsidR="00735E1B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фасад</w:t>
            </w:r>
            <w:proofErr w:type="spellEnd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Уличная мебель (скамейки, урны)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 кв. м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2 кв.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23-00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E0714E" w:rsidP="00E0714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 конструкция: «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Крышн</w:t>
            </w:r>
            <w:r w:rsidR="006A4763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6A4763" w:rsidRPr="00CC6BF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конструкци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0714E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Скроллер</w:t>
            </w:r>
            <w:proofErr w:type="spellEnd"/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Ситиборд</w:t>
            </w:r>
            <w:proofErr w:type="spellEnd"/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</w:t>
            </w:r>
          </w:p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«Тумба», «</w:t>
            </w:r>
            <w:proofErr w:type="spellStart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Пиллар</w:t>
            </w:r>
            <w:r w:rsidR="006A4763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spellEnd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«Сити-Формат»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«Пилон».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E0714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выше 5 кв. м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менее 5 кв.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27-00</w:t>
            </w:r>
          </w:p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735E1B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 конструкция: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«Панель-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Кронштейн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 т. 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казател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фасад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здани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опоре контактной 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отдельно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стоящих стоек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735E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 конструкция: «</w:t>
            </w:r>
            <w:r w:rsidR="00416CD0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Стела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30-00</w:t>
            </w:r>
          </w:p>
        </w:tc>
      </w:tr>
      <w:tr w:rsidR="00416CD0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</w:t>
            </w:r>
            <w:r w:rsidR="00735E1B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 конструкция: Конструкция, конструктивно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связанная с  </w:t>
            </w:r>
            <w:r w:rsidR="00735E1B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остановочным пунктом общественного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0" w:rsidRPr="00CC6BFC" w:rsidRDefault="00416CD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0" w:rsidRPr="00CC6BFC" w:rsidRDefault="00416C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36-00</w:t>
            </w:r>
          </w:p>
        </w:tc>
      </w:tr>
      <w:tr w:rsidR="00735E1B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B" w:rsidRPr="00CC6BFC" w:rsidRDefault="00735E1B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D" w:rsidRPr="00CC6BFC" w:rsidRDefault="00735E1B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 конструкция: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Настенная</w:t>
            </w:r>
          </w:p>
          <w:p w:rsidR="00735E1B" w:rsidRPr="00CC6BFC" w:rsidRDefault="00735E1B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конструкция с внутренним подсветом (</w:t>
            </w:r>
            <w:r w:rsidR="00E0714E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ветовой короб)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B" w:rsidRPr="00CC6BFC" w:rsidRDefault="00735E1B" w:rsidP="00735E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5 кв. м</w:t>
            </w:r>
          </w:p>
          <w:p w:rsidR="00735E1B" w:rsidRPr="00CC6BFC" w:rsidRDefault="00735E1B" w:rsidP="00735E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5 кв.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B" w:rsidRPr="00CC6BFC" w:rsidRDefault="00735E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30-00</w:t>
            </w:r>
          </w:p>
          <w:p w:rsidR="00735E1B" w:rsidRPr="00CC6BFC" w:rsidRDefault="00735E1B" w:rsidP="004C1C4D">
            <w:pPr>
              <w:ind w:firstLine="601"/>
              <w:rPr>
                <w:lang w:eastAsia="en-US"/>
              </w:rPr>
            </w:pPr>
            <w:r w:rsidRPr="00CC6BFC">
              <w:rPr>
                <w:lang w:eastAsia="en-US"/>
              </w:rPr>
              <w:t>34-00</w:t>
            </w:r>
          </w:p>
        </w:tc>
      </w:tr>
      <w:tr w:rsidR="00E0714E" w:rsidRPr="00CC6BFC" w:rsidTr="004C1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E" w:rsidRPr="00CC6BFC" w:rsidRDefault="00E0714E" w:rsidP="00F97D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E" w:rsidRPr="00CC6BFC" w:rsidRDefault="00E0714E" w:rsidP="004C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 конструкция:</w:t>
            </w:r>
            <w:r w:rsidR="004C1C4D"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Флаговая</w:t>
            </w:r>
            <w:proofErr w:type="spellEnd"/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композиция»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E" w:rsidRPr="00CC6BFC" w:rsidRDefault="00E0714E" w:rsidP="00735E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E" w:rsidRPr="00CC6BFC" w:rsidRDefault="004C1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37-00</w:t>
            </w:r>
          </w:p>
        </w:tc>
      </w:tr>
    </w:tbl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C6B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C6BFC">
        <w:rPr>
          <w:rFonts w:ascii="Times New Roman" w:hAnsi="Times New Roman" w:cs="Times New Roman"/>
          <w:sz w:val="28"/>
          <w:szCs w:val="28"/>
        </w:rPr>
        <w:t xml:space="preserve"> - коэффициент, учитывающий зональное расположение средств наружной рекламы, где: Зона 1 - 1,5.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Зона 1 - площади, транспортные развязки, магистральные улицы, территории учреждений культуры, парки и скверы.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К Зоне 1 относятся следующие территории: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6BFC">
        <w:rPr>
          <w:rFonts w:ascii="Times New Roman" w:hAnsi="Times New Roman" w:cs="Times New Roman"/>
          <w:sz w:val="28"/>
          <w:szCs w:val="28"/>
        </w:rPr>
        <w:t>- ул. Советская, проспект Ленина, ул. Коммунистическая, ул. Рабочая, ул. Московская, ул. Л. Толстого, ул. Большевистская, ул. Б.Хмельницкого, ул. Полежаева, ул. Пролетарская, ул. </w:t>
      </w:r>
      <w:proofErr w:type="spellStart"/>
      <w:r w:rsidRPr="00CC6BFC">
        <w:rPr>
          <w:rFonts w:ascii="Times New Roman" w:hAnsi="Times New Roman" w:cs="Times New Roman"/>
          <w:sz w:val="28"/>
          <w:szCs w:val="28"/>
        </w:rPr>
        <w:t>Ботевградская</w:t>
      </w:r>
      <w:proofErr w:type="spellEnd"/>
      <w:r w:rsidRPr="00CC6BFC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 w:rsidRPr="00CC6BFC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Pr="00CC6BFC">
        <w:rPr>
          <w:rFonts w:ascii="Times New Roman" w:hAnsi="Times New Roman" w:cs="Times New Roman"/>
          <w:sz w:val="28"/>
          <w:szCs w:val="28"/>
        </w:rPr>
        <w:t>, ул. Гагарина, ул. Титова, ул. А. Невского, ул. Осипенко, проспект  50 лет Октября, ул. Ульянова, ул. М. Расковой, ул. Энгельса, Юго-западное шоссе, проспект 60 лет Октября, ул. Веселовского, ул. Коваленко, ул. Победы, ул. Лодыгина</w:t>
      </w:r>
      <w:proofErr w:type="gramEnd"/>
      <w:r w:rsidRPr="00CC6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6BFC">
        <w:rPr>
          <w:rFonts w:ascii="Times New Roman" w:hAnsi="Times New Roman" w:cs="Times New Roman"/>
          <w:sz w:val="28"/>
          <w:szCs w:val="28"/>
        </w:rPr>
        <w:t>Лямбирское</w:t>
      </w:r>
      <w:proofErr w:type="spellEnd"/>
      <w:r w:rsidRPr="00CC6BFC">
        <w:rPr>
          <w:rFonts w:ascii="Times New Roman" w:hAnsi="Times New Roman" w:cs="Times New Roman"/>
          <w:sz w:val="28"/>
          <w:szCs w:val="28"/>
        </w:rPr>
        <w:t xml:space="preserve"> шоссе,  ул. Волгоградская, проспект  70 лет Октября, ул. Косарева, ул. Короленко, ул. Севастопольская,  </w:t>
      </w:r>
      <w:proofErr w:type="spellStart"/>
      <w:r w:rsidRPr="00CC6BF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C6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BFC">
        <w:rPr>
          <w:rFonts w:ascii="Times New Roman" w:hAnsi="Times New Roman" w:cs="Times New Roman"/>
          <w:sz w:val="28"/>
          <w:szCs w:val="28"/>
        </w:rPr>
        <w:t xml:space="preserve"> Николаевка, ул. Ленина, </w:t>
      </w:r>
      <w:proofErr w:type="spellStart"/>
      <w:r w:rsidRPr="00CC6BF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C6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7D4C" w:rsidRPr="00CC6BFC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="00F97D4C" w:rsidRPr="00CC6BFC">
        <w:rPr>
          <w:rFonts w:ascii="Times New Roman" w:hAnsi="Times New Roman" w:cs="Times New Roman"/>
          <w:sz w:val="28"/>
          <w:szCs w:val="28"/>
        </w:rPr>
        <w:t>, ул.</w:t>
      </w:r>
      <w:r w:rsidRPr="00CC6BFC">
        <w:rPr>
          <w:rFonts w:ascii="Times New Roman" w:hAnsi="Times New Roman" w:cs="Times New Roman"/>
          <w:sz w:val="28"/>
          <w:szCs w:val="28"/>
        </w:rPr>
        <w:t xml:space="preserve"> Пионерская.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Зона - 2 - 1,3.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2-я Зона - другие улицы.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Зона - 3 - 1,0.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3-я Зона - внутриквартальная застройка, территории промышленных предприятий и т.п.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C6B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C6BFC">
        <w:rPr>
          <w:rFonts w:ascii="Times New Roman" w:hAnsi="Times New Roman" w:cs="Times New Roman"/>
          <w:sz w:val="28"/>
          <w:szCs w:val="28"/>
        </w:rPr>
        <w:t xml:space="preserve"> - коэффициент, учитывающий срок размещения рекламы (в месяцах).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К3 - коэффициент освещенности;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0,8 - наружная подсветка;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0,7 - внутренняя подсветка.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Настоящие тарифы приведены без учета налогов и сборов.</w:t>
      </w: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p w:rsidR="00416CD0" w:rsidRPr="00CC6BFC" w:rsidRDefault="00416CD0" w:rsidP="00416CD0">
      <w:pPr>
        <w:rPr>
          <w:rFonts w:ascii="Times New Roman" w:hAnsi="Times New Roman" w:cs="Times New Roman"/>
          <w:sz w:val="28"/>
          <w:szCs w:val="28"/>
        </w:rPr>
      </w:pPr>
    </w:p>
    <w:sectPr w:rsidR="00416CD0" w:rsidRPr="00CC6BFC" w:rsidSect="00F97D4C">
      <w:pgSz w:w="11900" w:h="16800"/>
      <w:pgMar w:top="993" w:right="70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57"/>
    <w:rsid w:val="000A4C8B"/>
    <w:rsid w:val="000B0049"/>
    <w:rsid w:val="000E6C55"/>
    <w:rsid w:val="000F03D6"/>
    <w:rsid w:val="000F70C5"/>
    <w:rsid w:val="002169DA"/>
    <w:rsid w:val="0031029C"/>
    <w:rsid w:val="00343900"/>
    <w:rsid w:val="00416CD0"/>
    <w:rsid w:val="004C1C4D"/>
    <w:rsid w:val="004C2002"/>
    <w:rsid w:val="004C68FE"/>
    <w:rsid w:val="004D2F35"/>
    <w:rsid w:val="00532987"/>
    <w:rsid w:val="0058254F"/>
    <w:rsid w:val="006402A5"/>
    <w:rsid w:val="006A4763"/>
    <w:rsid w:val="00735E1B"/>
    <w:rsid w:val="00770DBD"/>
    <w:rsid w:val="00941C8D"/>
    <w:rsid w:val="0094599B"/>
    <w:rsid w:val="00A7190D"/>
    <w:rsid w:val="00BC0DF9"/>
    <w:rsid w:val="00BE5A80"/>
    <w:rsid w:val="00C62F07"/>
    <w:rsid w:val="00C816A9"/>
    <w:rsid w:val="00CC6BFC"/>
    <w:rsid w:val="00D6785E"/>
    <w:rsid w:val="00D91480"/>
    <w:rsid w:val="00D95E57"/>
    <w:rsid w:val="00DA380F"/>
    <w:rsid w:val="00E0714E"/>
    <w:rsid w:val="00EC4474"/>
    <w:rsid w:val="00F97D4C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E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E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95E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95E5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95E5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95E5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102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2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102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31029C"/>
    <w:rPr>
      <w:color w:val="0000FF"/>
      <w:u w:val="single"/>
    </w:rPr>
  </w:style>
  <w:style w:type="paragraph" w:styleId="aa">
    <w:name w:val="No Spacing"/>
    <w:uiPriority w:val="1"/>
    <w:qFormat/>
    <w:rsid w:val="003102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8228.0" TargetMode="External"/><Relationship Id="rId13" Type="http://schemas.openxmlformats.org/officeDocument/2006/relationships/hyperlink" Target="file:///\\FileShare\&#1040;&#1087;&#1087;&#1072;&#1088;&#1072;&#1090;%20&#1040;&#1076;&#1084;&#1080;&#1085;&#1080;&#1089;&#1090;&#1088;&#1072;&#1094;&#1080;&#1080;\&#1050;&#1072;&#1085;&#1094;&#1077;&#1083;&#1103;&#1088;&#1080;&#1103;\&#1052;&#1072;&#1081;&#1086;&#1088;&#1086;&#1074;&#1072;%20&#1044;.%20&#1040;.%20(&#1088;&#1077;&#1076;&#1072;&#1082;&#1090;&#1086;&#1088;)\&#1048;&#1089;&#1087;&#1088;&#1072;&#1074;&#1083;&#1077;&#1085;&#1085;&#1086;&#1077;\2022\&#1080;&#1102;&#1083;&#1100;\&#1052;&#1045;&#1058;&#1054;&#1044;&#1048;&#1050;&#1040;%20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91866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5525.0" TargetMode="External"/><Relationship Id="rId11" Type="http://schemas.openxmlformats.org/officeDocument/2006/relationships/hyperlink" Target="garantF1://8830340.1" TargetMode="External"/><Relationship Id="rId5" Type="http://schemas.openxmlformats.org/officeDocument/2006/relationships/hyperlink" Target="garantF1://8935569.0" TargetMode="External"/><Relationship Id="rId15" Type="http://schemas.openxmlformats.org/officeDocument/2006/relationships/hyperlink" Target="file:///\\FileShare\&#1040;&#1087;&#1087;&#1072;&#1088;&#1072;&#1090;%20&#1040;&#1076;&#1084;&#1080;&#1085;&#1080;&#1089;&#1090;&#1088;&#1072;&#1094;&#1080;&#1080;\&#1050;&#1072;&#1085;&#1094;&#1077;&#1083;&#1103;&#1088;&#1080;&#1103;\&#1052;&#1072;&#1081;&#1086;&#1088;&#1086;&#1074;&#1072;%20&#1044;.%20&#1040;.%20(&#1088;&#1077;&#1076;&#1072;&#1082;&#1090;&#1086;&#1088;)\&#1048;&#1089;&#1087;&#1088;&#1072;&#1074;&#1083;&#1077;&#1085;&#1085;&#1086;&#1077;\2022\&#1080;&#1102;&#1083;&#1100;\&#1052;&#1045;&#1058;&#1054;&#1044;&#1048;&#1050;&#1040;%202022.docx" TargetMode="External"/><Relationship Id="rId10" Type="http://schemas.openxmlformats.org/officeDocument/2006/relationships/hyperlink" Target="garantF1://882209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22036.0" TargetMode="External"/><Relationship Id="rId14" Type="http://schemas.openxmlformats.org/officeDocument/2006/relationships/hyperlink" Target="file:///\\FileShare\&#1040;&#1087;&#1087;&#1072;&#1088;&#1072;&#1090;%20&#1040;&#1076;&#1084;&#1080;&#1085;&#1080;&#1089;&#1090;&#1088;&#1072;&#1094;&#1080;&#1080;\&#1050;&#1072;&#1085;&#1094;&#1077;&#1083;&#1103;&#1088;&#1080;&#1103;\&#1052;&#1072;&#1081;&#1086;&#1088;&#1086;&#1074;&#1072;%20&#1044;.%20&#1040;.%20(&#1088;&#1077;&#1076;&#1072;&#1082;&#1090;&#1086;&#1088;)\&#1048;&#1089;&#1087;&#1088;&#1072;&#1074;&#1083;&#1077;&#1085;&#1085;&#1086;&#1077;\2022\&#1080;&#1102;&#1083;&#1100;\&#1052;&#1045;&#1058;&#1054;&#1044;&#1048;&#1050;&#1040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A78F-9385-47D7-9D50-A45A3774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YamlihaovaRN</dc:creator>
  <cp:keywords/>
  <dc:description/>
  <cp:lastModifiedBy>sovdep1</cp:lastModifiedBy>
  <cp:revision>22</cp:revision>
  <cp:lastPrinted>2022-09-27T05:53:00Z</cp:lastPrinted>
  <dcterms:created xsi:type="dcterms:W3CDTF">2022-07-07T08:59:00Z</dcterms:created>
  <dcterms:modified xsi:type="dcterms:W3CDTF">2022-11-30T13:05:00Z</dcterms:modified>
</cp:coreProperties>
</file>